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48.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It drives different subtypes in breast cancer and</w:t>
      </w:r>
      <w:r>
        <w:t xml:space="preserve"> </w:t>
      </w:r>
      <w:r>
        <w:t xml:space="preserve">treatment decisions. In most of the cases, if a patient is diagnosed</w:t>
      </w:r>
      <w:r>
        <w:t xml:space="preserve"> </w:t>
      </w:r>
      <w:r>
        <w:t xml:space="preserve">with breast cancer and has immunohistochemistry (IHC) percentage of 1% for</w:t>
      </w:r>
      <w:r>
        <w:t xml:space="preserve"> </w:t>
      </w:r>
      <w:r>
        <w:t xml:space="preserve">estrogen receptor, they will receive standard endocrine therapy. We show</w:t>
      </w:r>
      <w:r>
        <w:t xml:space="preserve"> </w:t>
      </w:r>
      <w:r>
        <w:t xml:space="preserve">here that estrogen signaling is a continuous status rather than</w:t>
      </w:r>
      <w:r>
        <w:t xml:space="preserve"> </w:t>
      </w:r>
      <w:r>
        <w:t xml:space="preserve">dichotomous. To further elucidate the effects of estrogen signaling and</w:t>
      </w:r>
      <w:r>
        <w:t xml:space="preserve"> </w:t>
      </w:r>
      <w:r>
        <w:t xml:space="preserve">other molecular pathways, we propose a new framework for personalized</w:t>
      </w:r>
      <w:r>
        <w:t xml:space="preserve"> </w:t>
      </w:r>
      <w:r>
        <w:t xml:space="preserve">medicine. First, we introduce a novel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 We show that the embedding</w:t>
      </w:r>
      <w:r>
        <w:t xml:space="preserve"> </w:t>
      </w:r>
      <w:r>
        <w:t xml:space="preserve">is not dependent of tumor purity, age and other clinical variables and</w:t>
      </w:r>
      <w:r>
        <w:t xml:space="preserve"> </w:t>
      </w:r>
      <w:r>
        <w:t xml:space="preserve">other pathways, such as G2M Checkpoint, Epithelial to Mesenchymal Transition</w:t>
      </w:r>
      <w:r>
        <w:t xml:space="preserve"> </w:t>
      </w:r>
      <w:r>
        <w:t xml:space="preserve">(EMT) and PI3K AKT MTOR signaling drives the embedding.</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 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 tumor disease in the world</w:t>
      </w:r>
      <w:r>
        <w:t xml:space="preserve"> </w:t>
      </w:r>
      <w:r>
        <w:t xml:space="preserve">(1)</w:t>
      </w:r>
      <w:r>
        <w:t xml:space="preserve">.</w:t>
      </w:r>
      <w:r>
        <w:t xml:space="preserve"> </w:t>
      </w:r>
      <w:r>
        <w:t xml:space="preserve">It is also a very heterogeneous disease that can be subdivided in</w:t>
      </w:r>
      <w:r>
        <w:t xml:space="preserve"> </w:t>
      </w:r>
      <w:r>
        <w:t xml:space="preserve">different subtypes. Patients that are diagnosed with</w:t>
      </w:r>
      <w:r>
        <w:t xml:space="preserve"> </w:t>
      </w:r>
      <w:r>
        <w:t xml:space="preserve">breast cancer are classified based on the expression of the estrogen,</w:t>
      </w:r>
      <w:r>
        <w:t xml:space="preserve"> </w:t>
      </w:r>
      <w:r>
        <w:t xml:space="preserve">progesterone receptors and HER2 membrane protein. The</w:t>
      </w:r>
      <w:r>
        <w:t xml:space="preserve"> </w:t>
      </w:r>
      <w:r>
        <w:t xml:space="preserve">estrogen receptor positive (ER+) breast cancer subtype is the most</w:t>
      </w:r>
      <w:r>
        <w:t xml:space="preserve"> </w:t>
      </w:r>
      <w:r>
        <w:t xml:space="preserve">frequent found in clinical practice</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revolutionazed how cancer research is done.</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available</w:t>
      </w:r>
      <w:r>
        <w:t xml:space="preserve"> </w:t>
      </w:r>
      <w:r>
        <w:t xml:space="preserve">to be used in hospitals</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continuous way. Usually integration is a one</w:t>
      </w:r>
      <w:r>
        <w:t xml:space="preserve"> </w:t>
      </w:r>
      <w:r>
        <w:t xml:space="preserve">step procedure and cannot be updated. The usual tools are</w:t>
      </w:r>
      <w:r>
        <w:t xml:space="preserve"> </w:t>
      </w:r>
      <w:r>
        <w:t xml:space="preserve">(12–14)</w:t>
      </w:r>
      <w:r>
        <w:t xml:space="preserve"> </w:t>
      </w:r>
      <w:r>
        <w:t xml:space="preserve">and they do not provide batch effect removal for new</w:t>
      </w:r>
      <w:r>
        <w:t xml:space="preserve"> </w:t>
      </w:r>
      <w:r>
        <w:t xml:space="preserve">samples. The only way is to re-run the procedure together with the new sample.</w:t>
      </w:r>
      <w:r>
        <w:t xml:space="preserve"> </w:t>
      </w:r>
      <w:r>
        <w:t xml:space="preserve">The problem of doing this is usually you don’t have enough samples to estimate</w:t>
      </w:r>
      <w:r>
        <w:t xml:space="preserve"> </w:t>
      </w:r>
      <w:r>
        <w:t xml:space="preserve">batch effects across groups and therefore correct it.</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and that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understand</w:t>
      </w:r>
      <w:r>
        <w:t xml:space="preserve"> </w:t>
      </w:r>
      <w:r>
        <w:t xml:space="preserve">the biology of the tumors in patient and neighborhood levels.</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r>
            <m:rPr>
              <m:sty m:val="p"/>
            </m:rPr>
            <m:t>,</m:t>
          </m:r>
        </m:oMath>
      </m:oMathPara>
    </w:p>
    <w:p>
      <w:pPr>
        <w:pStyle w:val="FirstParagraph"/>
      </w:pPr>
      <w:r>
        <w:t xml:space="preserve">where k corresopnds to the number of cohorts, in this case</w:t>
      </w:r>
      <w:r>
        <w:t xml:space="preserve"> </w:t>
      </w:r>
      <m:oMath>
        <m:r>
          <m:t>k</m:t>
        </m:r>
        <m:r>
          <m:rPr>
            <m:sty m:val="p"/>
          </m:rPr>
          <m:t>=</m:t>
        </m:r>
        <m:r>
          <m:t>2</m:t>
        </m:r>
      </m:oMath>
      <w:r>
        <w:t xml:space="preserve">.</w:t>
      </w:r>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(22)</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(23)</w:t>
      </w:r>
      <w:r>
        <w:t xml:space="preserve"> </w:t>
      </w:r>
      <w:r>
        <w:t xml:space="preserve">in R was used to perform the PCA and to obtain the loadings for</w:t>
      </w:r>
      <w:r>
        <w:t xml:space="preserve"> </w:t>
      </w:r>
      <w:r>
        <w:t xml:space="preserve">downstream analysis. PCA was used with centering and scaling set to</w:t>
      </w:r>
      <w:r>
        <w:t xml:space="preserve"> </w:t>
      </w:r>
      <w:r>
        <w:rPr>
          <w:rStyle w:val="VerbatimChar"/>
        </w:rPr>
        <w:t xml:space="preserve">FALSE</w:t>
      </w:r>
      <w:r>
        <w:t xml:space="preserve">.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58" w:name="results"/>
    <w:p>
      <w:pPr>
        <w:pStyle w:val="Heading1"/>
      </w:pPr>
      <w:r>
        <w:t xml:space="preserve">Results</w:t>
      </w:r>
    </w:p>
    <w:bookmarkStart w:id="37" w:name="Xa7852579298aa6aec6315c0a2aa7049de59aaf0"/>
    <w:p>
      <w:pPr>
        <w:pStyle w:val="Heading2"/>
      </w:pPr>
      <w:r>
        <w:t xml:space="preserve">Estrogen receptor is a clinical continuous variable</w:t>
      </w:r>
    </w:p>
    <w:p>
      <w:pPr>
        <w:pStyle w:val="FirstParagraph"/>
      </w:pPr>
      <w:r>
        <w:t xml:space="preserve">Estrogen signaling is an indicative of how well a patient will respond</w:t>
      </w:r>
      <w:r>
        <w:t xml:space="preserve"> </w:t>
      </w:r>
      <w:r>
        <w:t xml:space="preserve">to endocrine therapy. There are several ways to represent the estrogen</w:t>
      </w:r>
      <w:r>
        <w:t xml:space="preserve"> </w:t>
      </w:r>
      <w:r>
        <w:t xml:space="preserve">signaling, one of them is to calculate scores derived from gene</w:t>
      </w:r>
      <w:r>
        <w:t xml:space="preserve"> </w:t>
      </w:r>
      <w:r>
        <w:t xml:space="preserve">expression levels of bulk RNA-sequencing.</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The selected</w:t>
      </w:r>
      <w:r>
        <w:t xml:space="preserve"> </w:t>
      </w:r>
      <w:r>
        <w:t xml:space="preserve">sub population represents patients that could benefit from</w:t>
      </w:r>
      <w:r>
        <w:t xml:space="preserve"> </w:t>
      </w:r>
      <w:r>
        <w:t xml:space="preserve">additional adjuvant therapies given unfavorable scores.</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 For both</w:t>
      </w:r>
      <w:r>
        <w:t xml:space="preserve"> </w:t>
      </w:r>
      <w:r>
        <w:t xml:space="preserve">estrogen pathways of the hallmark collection of gene sets, hazard ratios</w:t>
      </w:r>
      <w:r>
        <w:t xml:space="preserve"> </w:t>
      </w:r>
      <w:r>
        <w:t xml:space="preserve">were below 1 in all cases (Table 1, supplementary material), with a</w:t>
      </w:r>
      <w:r>
        <w:t xml:space="preserve"> </w:t>
      </w:r>
      <w:r>
        <w:t xml:space="preserve">HR below 1 meaning that the higher the score the better the chances</w:t>
      </w:r>
      <w:r>
        <w:t xml:space="preserve"> </w:t>
      </w:r>
      <w:r>
        <w:t xml:space="preserve">of survival for a patient.</w:t>
      </w:r>
    </w:p>
    <w:tbl>
      <w:tblPr>
        <w:tblStyle w:val="Table"/>
        <w:tblW w:type="pct" w:w="5000"/>
        <w:tblLook w:firstRow="0" w:lastRow="0" w:firstColumn="0" w:lastColumn="0" w:noHBand="0" w:noVBand="0" w:val="0000"/>
      </w:tblPr>
      <w:tblGrid>
        <w:gridCol w:w="7920"/>
      </w:tblGrid>
      <w:tr>
        <w:tc>
          <w:tcPr/>
          <w:bookmarkStart w:id="36" w:name="fig-01"/>
          <w:p>
            <w:pPr>
              <w:pStyle w:val="Figure"/>
              <w:jc w:val="center"/>
            </w:pPr>
            <w:r>
              <w:drawing>
                <wp:inline>
                  <wp:extent cx="5334000" cy="4124722"/>
                  <wp:effectExtent b="0" l="0" r="0" t="0"/>
                  <wp:docPr descr="" title="" id="34" name="Picture"/>
                  <a:graphic>
                    <a:graphicData uri="http://schemas.openxmlformats.org/drawingml/2006/picture">
                      <pic:pic>
                        <pic:nvPicPr>
                          <pic:cNvPr descr="images/png/figure01.png" id="35" name="Picture"/>
                          <pic:cNvPicPr>
                            <a:picLocks noChangeArrowheads="1" noChangeAspect="1"/>
                          </pic:cNvPicPr>
                        </pic:nvPicPr>
                        <pic:blipFill>
                          <a:blip r:embed="rId3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6"/>
        </w:tc>
      </w:tr>
    </w:tbl>
    <w:bookmarkEnd w:id="37"/>
    <w:bookmarkStart w:id="4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Examples of genes</w:t>
      </w:r>
      <w:r>
        <w:t xml:space="preserve"> </w:t>
      </w:r>
      <w:r>
        <w:t xml:space="preserve">where see such differences are TFF1 and ESR1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(e)). Another problem inherent to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(f)). The</w:t>
      </w:r>
      <w:r>
        <w:t xml:space="preserve"> </w:t>
      </w:r>
      <w:r>
        <w:t xml:space="preserve">higher the proportion the less precise the embedding is. Other clinical</w:t>
      </w:r>
      <w:r>
        <w:t xml:space="preserve"> </w:t>
      </w:r>
      <w:r>
        <w:t xml:space="preserve">factors, such as tumor stage, node stage, age, NPI and tumor purity</w:t>
      </w:r>
      <w:r>
        <w:t xml:space="preserve"> </w:t>
      </w:r>
      <w:r>
        <w:t xml:space="preserve">show no influence in the embedding (Figure S2), besides the fact</w:t>
      </w:r>
      <w:r>
        <w:t xml:space="preserve"> </w:t>
      </w:r>
      <w:r>
        <w:t xml:space="preserve">that ER- BC patients usually have higher stage in general.</w:t>
      </w:r>
    </w:p>
    <w:tbl>
      <w:tblPr>
        <w:tblStyle w:val="Table"/>
        <w:tblW w:type="pct" w:w="5000"/>
        <w:tblLook w:firstRow="0" w:lastRow="0" w:firstColumn="0" w:lastColumn="0" w:noHBand="0" w:noVBand="0" w:val="0000"/>
      </w:tblPr>
      <w:tblGrid>
        <w:gridCol w:w="7920"/>
      </w:tblGrid>
      <w:tr>
        <w:tc>
          <w:tcPr/>
          <w:bookmarkStart w:id="41" w:name="fig-02"/>
          <w:p>
            <w:pPr>
              <w:pStyle w:val="Figure"/>
              <w:jc w:val="center"/>
            </w:pPr>
            <w:r>
              <w:drawing>
                <wp:inline>
                  <wp:extent cx="5334000" cy="5449210"/>
                  <wp:effectExtent b="0" l="0" r="0" t="0"/>
                  <wp:docPr descr="" title="" id="39" name="Picture"/>
                  <a:graphic>
                    <a:graphicData uri="http://schemas.openxmlformats.org/drawingml/2006/picture">
                      <pic:pic>
                        <pic:nvPicPr>
                          <pic:cNvPr descr="images/png/figure02.png" id="40" name="Picture"/>
                          <pic:cNvPicPr>
                            <a:picLocks noChangeArrowheads="1" noChangeAspect="1"/>
                          </pic:cNvPicPr>
                        </pic:nvPicPr>
                        <pic:blipFill>
                          <a:blip r:embed="rId38"/>
                          <a:stretch>
                            <a:fillRect/>
                          </a:stretch>
                        </pic:blipFill>
                        <pic:spPr bwMode="auto">
                          <a:xfrm>
                            <a:off x="0" y="0"/>
                            <a:ext cx="5334000" cy="5449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1"/>
        </w:tc>
      </w:tr>
    </w:tbl>
    <w:bookmarkEnd w:id="42"/>
    <w:bookmarkStart w:id="47"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 It is also in between the two cohorts. We also show</w:t>
      </w:r>
      <w:r>
        <w:t xml:space="preserve"> </w:t>
      </w:r>
      <w:r>
        <w:t xml:space="preserve">that the embedding works for the SMC cohort</w:t>
      </w:r>
      <w:r>
        <w:t xml:space="preserve"> </w:t>
      </w:r>
      <w:r>
        <w:t xml:space="preserve">(29)</w:t>
      </w:r>
      <w:r>
        <w:t xml:space="preserve"> </w:t>
      </w:r>
      <w:r>
        <w:t xml:space="preserve">(supplementary figure 3; 3.14 from the book).</w:t>
      </w:r>
    </w:p>
    <w:tbl>
      <w:tblPr>
        <w:tblStyle w:val="Table"/>
        <w:tblW w:type="pct" w:w="5000"/>
        <w:tblLook w:firstRow="0" w:lastRow="0" w:firstColumn="0" w:lastColumn="0" w:noHBand="0" w:noVBand="0" w:val="0000"/>
      </w:tblPr>
      <w:tblGrid>
        <w:gridCol w:w="7920"/>
      </w:tblGrid>
      <w:tr>
        <w:tc>
          <w:tcPr/>
          <w:bookmarkStart w:id="46" w:name="fig-03"/>
          <w:p>
            <w:pPr>
              <w:pStyle w:val="Figure"/>
              <w:jc w:val="center"/>
            </w:pPr>
            <w:r>
              <w:drawing>
                <wp:inline>
                  <wp:extent cx="5334000" cy="3794497"/>
                  <wp:effectExtent b="0" l="0" r="0" t="0"/>
                  <wp:docPr descr="" title="" id="44" name="Picture"/>
                  <a:graphic>
                    <a:graphicData uri="http://schemas.openxmlformats.org/drawingml/2006/picture">
                      <pic:pic>
                        <pic:nvPicPr>
                          <pic:cNvPr descr="images/png/figure03.png" id="45" name="Picture"/>
                          <pic:cNvPicPr>
                            <a:picLocks noChangeArrowheads="1" noChangeAspect="1"/>
                          </pic:cNvPicPr>
                        </pic:nvPicPr>
                        <pic:blipFill>
                          <a:blip r:embed="rId43"/>
                          <a:stretch>
                            <a:fillRect/>
                          </a:stretch>
                        </pic:blipFill>
                        <pic:spPr bwMode="auto">
                          <a:xfrm>
                            <a:off x="0" y="0"/>
                            <a:ext cx="5334000" cy="3794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46"/>
        </w:tc>
      </w:tr>
    </w:tbl>
    <w:bookmarkEnd w:id="47"/>
    <w:bookmarkStart w:id="52"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 POETIC trial team sent for microarray hybridization</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51" w:name="fig-04"/>
          <w:p>
            <w:pPr>
              <w:pStyle w:val="Figure"/>
              <w:jc w:val="center"/>
            </w:pPr>
            <w:r>
              <w:drawing>
                <wp:inline>
                  <wp:extent cx="5334000" cy="2806147"/>
                  <wp:effectExtent b="0" l="0" r="0" t="0"/>
                  <wp:docPr descr="" title="" id="49" name="Picture"/>
                  <a:graphic>
                    <a:graphicData uri="http://schemas.openxmlformats.org/drawingml/2006/picture">
                      <pic:pic>
                        <pic:nvPicPr>
                          <pic:cNvPr descr="images/png/figure04.png" id="50" name="Picture"/>
                          <pic:cNvPicPr>
                            <a:picLocks noChangeArrowheads="1" noChangeAspect="1"/>
                          </pic:cNvPicPr>
                        </pic:nvPicPr>
                        <pic:blipFill>
                          <a:blip r:embed="rId48"/>
                          <a:stretch>
                            <a:fillRect/>
                          </a:stretch>
                        </pic:blipFill>
                        <pic:spPr bwMode="auto">
                          <a:xfrm>
                            <a:off x="0" y="0"/>
                            <a:ext cx="5334000" cy="28061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51"/>
        </w:tc>
      </w:tr>
    </w:tbl>
    <w:bookmarkEnd w:id="52"/>
    <w:bookmarkStart w:id="57"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There are several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aditional adjuvant therapy targeting this specific pathway.</w:t>
      </w:r>
    </w:p>
    <w:tbl>
      <w:tblPr>
        <w:tblStyle w:val="Table"/>
        <w:tblW w:type="pct" w:w="5000"/>
        <w:tblLook w:firstRow="0" w:lastRow="0" w:firstColumn="0" w:lastColumn="0" w:noHBand="0" w:noVBand="0" w:val="0000"/>
      </w:tblPr>
      <w:tblGrid>
        <w:gridCol w:w="7920"/>
      </w:tblGrid>
      <w:tr>
        <w:tc>
          <w:tcPr/>
          <w:bookmarkStart w:id="56" w:name="fig-05"/>
          <w:p>
            <w:pPr>
              <w:pStyle w:val="Figure"/>
              <w:jc w:val="center"/>
            </w:pPr>
            <w:r>
              <w:drawing>
                <wp:inline>
                  <wp:extent cx="5334000" cy="5877692"/>
                  <wp:effectExtent b="0" l="0" r="0" t="0"/>
                  <wp:docPr descr="" title="" id="54" name="Picture"/>
                  <a:graphic>
                    <a:graphicData uri="http://schemas.openxmlformats.org/drawingml/2006/picture">
                      <pic:pic>
                        <pic:nvPicPr>
                          <pic:cNvPr descr="images/png/figure05.png" id="55" name="Picture"/>
                          <pic:cNvPicPr>
                            <a:picLocks noChangeArrowheads="1" noChangeAspect="1"/>
                          </pic:cNvPicPr>
                        </pic:nvPicPr>
                        <pic:blipFill>
                          <a:blip r:embed="rId53"/>
                          <a:stretch>
                            <a:fillRect/>
                          </a:stretch>
                        </pic:blipFill>
                        <pic:spPr bwMode="auto">
                          <a:xfrm>
                            <a:off x="0" y="0"/>
                            <a:ext cx="5334000" cy="5877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56"/>
        </w:tc>
      </w:tr>
    </w:tbl>
    <w:bookmarkEnd w:id="57"/>
    <w:bookmarkEnd w:id="58"/>
    <w:bookmarkStart w:id="59"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(31)</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(16)</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(32)</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(22,33)</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9"/>
    <w:bookmarkStart w:id="125" w:name="references"/>
    <w:p>
      <w:pPr>
        <w:pStyle w:val="Heading1"/>
      </w:pPr>
      <w:r>
        <w:t xml:space="preserve">References</w:t>
      </w:r>
    </w:p>
    <w:bookmarkStart w:id="124" w:name="refs"/>
    <w:bookmarkStart w:id="60"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60"/>
    <w:bookmarkStart w:id="62"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61">
        <w:r>
          <w:rPr>
            <w:rStyle w:val="Hyperlink"/>
          </w:rPr>
          <w:t xml:space="preserve">https://doi.org/10.1023/a:1020299707510</w:t>
        </w:r>
      </w:hyperlink>
    </w:p>
    <w:bookmarkEnd w:id="62"/>
    <w:bookmarkStart w:id="64"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63">
        <w:r>
          <w:rPr>
            <w:rStyle w:val="Hyperlink"/>
          </w:rPr>
          <w:t xml:space="preserve">https://doi.org/10.1200/jco.19.02309</w:t>
        </w:r>
      </w:hyperlink>
    </w:p>
    <w:bookmarkEnd w:id="64"/>
    <w:bookmarkStart w:id="66"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65">
        <w:r>
          <w:rPr>
            <w:rStyle w:val="Hyperlink"/>
          </w:rPr>
          <w:t xml:space="preserve">https://doi.org/10.1038/s41523-021-00308-7</w:t>
        </w:r>
      </w:hyperlink>
    </w:p>
    <w:bookmarkEnd w:id="66"/>
    <w:bookmarkStart w:id="68"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67">
        <w:r>
          <w:rPr>
            <w:rStyle w:val="Hyperlink"/>
          </w:rPr>
          <w:t xml:space="preserve">https://doi.org/10.1056/nejmoa1602253</w:t>
        </w:r>
      </w:hyperlink>
    </w:p>
    <w:bookmarkEnd w:id="68"/>
    <w:bookmarkStart w:id="70"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69">
        <w:r>
          <w:rPr>
            <w:rStyle w:val="Hyperlink"/>
          </w:rPr>
          <w:t xml:space="preserve">https://doi.org/10.1200/jco.2008.18.1370</w:t>
        </w:r>
      </w:hyperlink>
    </w:p>
    <w:bookmarkEnd w:id="70"/>
    <w:bookmarkStart w:id="72"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71">
        <w:r>
          <w:rPr>
            <w:rStyle w:val="Hyperlink"/>
          </w:rPr>
          <w:t xml:space="preserve">https://doi.org/10.1056/nejmoa1804710</w:t>
        </w:r>
      </w:hyperlink>
    </w:p>
    <w:bookmarkEnd w:id="72"/>
    <w:bookmarkStart w:id="74"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73">
        <w:r>
          <w:rPr>
            <w:rStyle w:val="Hyperlink"/>
          </w:rPr>
          <w:t xml:space="preserve">https://doi.org/10.1158/1078-0432.ccr-11-0926</w:t>
        </w:r>
      </w:hyperlink>
    </w:p>
    <w:bookmarkEnd w:id="74"/>
    <w:bookmarkStart w:id="76"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75">
        <w:r>
          <w:rPr>
            <w:rStyle w:val="Hyperlink"/>
          </w:rPr>
          <w:t xml:space="preserve">https://doi.org/10.1186/bcr3038</w:t>
        </w:r>
      </w:hyperlink>
    </w:p>
    <w:bookmarkEnd w:id="76"/>
    <w:bookmarkStart w:id="78"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77">
        <w:r>
          <w:rPr>
            <w:rStyle w:val="Hyperlink"/>
          </w:rPr>
          <w:t xml:space="preserve">https://doi.org/10.1200/jco.22.00069</w:t>
        </w:r>
      </w:hyperlink>
    </w:p>
    <w:bookmarkEnd w:id="78"/>
    <w:bookmarkStart w:id="80"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79">
        <w:r>
          <w:rPr>
            <w:rStyle w:val="Hyperlink"/>
          </w:rPr>
          <w:t xml:space="preserve">https://doi.org/10.1200/jco.20.00853</w:t>
        </w:r>
      </w:hyperlink>
    </w:p>
    <w:bookmarkEnd w:id="80"/>
    <w:bookmarkStart w:id="82"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81">
        <w:r>
          <w:rPr>
            <w:rStyle w:val="Hyperlink"/>
          </w:rPr>
          <w:t xml:space="preserve">https://doi.org/10.1038/nbt.2931</w:t>
        </w:r>
      </w:hyperlink>
    </w:p>
    <w:bookmarkEnd w:id="82"/>
    <w:bookmarkStart w:id="84"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83">
        <w:r>
          <w:rPr>
            <w:rStyle w:val="Hyperlink"/>
          </w:rPr>
          <w:t xml:space="preserve">https://doi.org/10.1093/nargab/lqaa078</w:t>
        </w:r>
      </w:hyperlink>
    </w:p>
    <w:bookmarkEnd w:id="84"/>
    <w:bookmarkStart w:id="86"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85">
        <w:r>
          <w:rPr>
            <w:rStyle w:val="Hyperlink"/>
          </w:rPr>
          <w:t xml:space="preserve">https://doi.org/10.1093/bioinformatics/bty117</w:t>
        </w:r>
      </w:hyperlink>
    </w:p>
    <w:bookmarkEnd w:id="86"/>
    <w:bookmarkStart w:id="88"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7">
        <w:r>
          <w:rPr>
            <w:rStyle w:val="Hyperlink"/>
          </w:rPr>
          <w:t xml:space="preserve">https://doi.org/10.1038/nature11412</w:t>
        </w:r>
      </w:hyperlink>
    </w:p>
    <w:bookmarkEnd w:id="88"/>
    <w:bookmarkStart w:id="90"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89">
        <w:r>
          <w:rPr>
            <w:rStyle w:val="Hyperlink"/>
          </w:rPr>
          <w:t xml:space="preserve">https://doi.org/10.1186/s13073-015-0131-9</w:t>
        </w:r>
      </w:hyperlink>
    </w:p>
    <w:bookmarkEnd w:id="90"/>
    <w:bookmarkStart w:id="92"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91">
        <w:r>
          <w:rPr>
            <w:rStyle w:val="Hyperlink"/>
          </w:rPr>
          <w:t xml:space="preserve">https://doi.org/10.1038/nature10983</w:t>
        </w:r>
      </w:hyperlink>
    </w:p>
    <w:bookmarkEnd w:id="92"/>
    <w:bookmarkStart w:id="94"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93">
        <w:r>
          <w:rPr>
            <w:rStyle w:val="Hyperlink"/>
          </w:rPr>
          <w:t xml:space="preserve">https://doi.org/10.1186/s13058-019-1223-z</w:t>
        </w:r>
      </w:hyperlink>
    </w:p>
    <w:bookmarkEnd w:id="94"/>
    <w:bookmarkStart w:id="96"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95">
        <w:r>
          <w:rPr>
            <w:rStyle w:val="Hyperlink"/>
          </w:rPr>
          <w:t xml:space="preserve">https://doi.org/10.1073/pnas.0506580102</w:t>
        </w:r>
      </w:hyperlink>
    </w:p>
    <w:bookmarkEnd w:id="96"/>
    <w:bookmarkStart w:id="98"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7">
        <w:r>
          <w:rPr>
            <w:rStyle w:val="Hyperlink"/>
          </w:rPr>
          <w:t xml:space="preserve">https://doi.org/10.1093/bioinformatics/btr260</w:t>
        </w:r>
      </w:hyperlink>
    </w:p>
    <w:bookmarkEnd w:id="98"/>
    <w:bookmarkStart w:id="99"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99"/>
    <w:bookmarkStart w:id="101"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100">
        <w:r>
          <w:rPr>
            <w:rStyle w:val="Hyperlink"/>
          </w:rPr>
          <w:t xml:space="preserve">https://doi.org/10.1093/nar/gkaa802</w:t>
        </w:r>
      </w:hyperlink>
    </w:p>
    <w:bookmarkEnd w:id="101"/>
    <w:bookmarkStart w:id="103"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102">
        <w:r>
          <w:rPr>
            <w:rStyle w:val="Hyperlink"/>
          </w:rPr>
          <w:t xml:space="preserve">https://github.com/kevinblighe/PCAtools</w:t>
        </w:r>
      </w:hyperlink>
    </w:p>
    <w:bookmarkEnd w:id="103"/>
    <w:bookmarkStart w:id="105"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104">
        <w:r>
          <w:rPr>
            <w:rStyle w:val="Hyperlink"/>
          </w:rPr>
          <w:t xml:space="preserve">https://doi.org/10.1186/1471-2105-14-7</w:t>
        </w:r>
      </w:hyperlink>
    </w:p>
    <w:bookmarkEnd w:id="105"/>
    <w:bookmarkStart w:id="107"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6">
        <w:r>
          <w:rPr>
            <w:rStyle w:val="Hyperlink"/>
          </w:rPr>
          <w:t xml:space="preserve">https://doi.org/10.1038/s41523-019-0111-0</w:t>
        </w:r>
      </w:hyperlink>
    </w:p>
    <w:bookmarkEnd w:id="107"/>
    <w:bookmarkStart w:id="109"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8">
        <w:r>
          <w:rPr>
            <w:rStyle w:val="Hyperlink"/>
          </w:rPr>
          <w:t xml:space="preserve">https://doi.org/10.1038/ng1180</w:t>
        </w:r>
      </w:hyperlink>
    </w:p>
    <w:bookmarkEnd w:id="109"/>
    <w:bookmarkStart w:id="111"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10">
        <w:r>
          <w:rPr>
            <w:rStyle w:val="Hyperlink"/>
          </w:rPr>
          <w:t xml:space="preserve">https://mc-stan.org/rstanarm/</w:t>
        </w:r>
      </w:hyperlink>
    </w:p>
    <w:bookmarkEnd w:id="111"/>
    <w:bookmarkStart w:id="113"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12">
        <w:r>
          <w:rPr>
            <w:rStyle w:val="Hyperlink"/>
          </w:rPr>
          <w:t xml:space="preserve">http://mjskay.github.io/tidybayes/</w:t>
        </w:r>
      </w:hyperlink>
    </w:p>
    <w:bookmarkEnd w:id="113"/>
    <w:bookmarkStart w:id="115"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14">
        <w:r>
          <w:rPr>
            <w:rStyle w:val="Hyperlink"/>
          </w:rPr>
          <w:t xml:space="preserve">https://doi.org/10.1038/s41467-018-04129-4</w:t>
        </w:r>
      </w:hyperlink>
    </w:p>
    <w:bookmarkEnd w:id="115"/>
    <w:bookmarkStart w:id="117"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6">
        <w:r>
          <w:rPr>
            <w:rStyle w:val="Hyperlink"/>
          </w:rPr>
          <w:t xml:space="preserve">https://doi.org/10.1093/jncimonographs/lgr034</w:t>
        </w:r>
      </w:hyperlink>
    </w:p>
    <w:bookmarkEnd w:id="117"/>
    <w:bookmarkStart w:id="119" w:name="ref-Arima2018"/>
    <w:p>
      <w:pPr>
        <w:pStyle w:val="Bibliography"/>
      </w:pPr>
      <w:r>
        <w:t xml:space="preserve">31.</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8">
        <w:r>
          <w:rPr>
            <w:rStyle w:val="Hyperlink"/>
          </w:rPr>
          <w:t xml:space="preserve">https://doi.org/10.3892/ol.2018.9633</w:t>
        </w:r>
      </w:hyperlink>
    </w:p>
    <w:bookmarkEnd w:id="119"/>
    <w:bookmarkStart w:id="121" w:name="ref-Hickey2021"/>
    <w:p>
      <w:pPr>
        <w:pStyle w:val="Bibliography"/>
      </w:pPr>
      <w:r>
        <w:t xml:space="preserve">32.</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20">
        <w:r>
          <w:rPr>
            <w:rStyle w:val="Hyperlink"/>
          </w:rPr>
          <w:t xml:space="preserve">https://doi.org/10.1038/s41591-020-01168-7</w:t>
        </w:r>
      </w:hyperlink>
    </w:p>
    <w:bookmarkEnd w:id="121"/>
    <w:bookmarkStart w:id="123" w:name="ref-Foroutan2018"/>
    <w:p>
      <w:pPr>
        <w:pStyle w:val="Bibliography"/>
      </w:pPr>
      <w:r>
        <w:t xml:space="preserve">33.</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22">
        <w:r>
          <w:rPr>
            <w:rStyle w:val="Hyperlink"/>
          </w:rPr>
          <w:t xml:space="preserve">https://doi.org/10.1186/s12859-018-2435-4</w:t>
        </w:r>
      </w:hyperlink>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hyperlink" Id="rId11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61" Target="https://doi.org/10.1023/a:1020299707510" TargetMode="External" /><Relationship Type="http://schemas.openxmlformats.org/officeDocument/2006/relationships/hyperlink" Id="rId91" Target="https://doi.org/10.1038/nature10983" TargetMode="External" /><Relationship Type="http://schemas.openxmlformats.org/officeDocument/2006/relationships/hyperlink" Id="rId87" Target="https://doi.org/10.1038/nature11412" TargetMode="External" /><Relationship Type="http://schemas.openxmlformats.org/officeDocument/2006/relationships/hyperlink" Id="rId81" Target="https://doi.org/10.1038/nbt.2931" TargetMode="External" /><Relationship Type="http://schemas.openxmlformats.org/officeDocument/2006/relationships/hyperlink" Id="rId108" Target="https://doi.org/10.1038/ng1180" TargetMode="External" /><Relationship Type="http://schemas.openxmlformats.org/officeDocument/2006/relationships/hyperlink" Id="rId114" Target="https://doi.org/10.1038/s41467-018-04129-4" TargetMode="External" /><Relationship Type="http://schemas.openxmlformats.org/officeDocument/2006/relationships/hyperlink" Id="rId106" Target="https://doi.org/10.1038/s41523-019-0111-0" TargetMode="External" /><Relationship Type="http://schemas.openxmlformats.org/officeDocument/2006/relationships/hyperlink" Id="rId65" Target="https://doi.org/10.1038/s41523-021-00308-7" TargetMode="External" /><Relationship Type="http://schemas.openxmlformats.org/officeDocument/2006/relationships/hyperlink" Id="rId120" Target="https://doi.org/10.1038/s41591-020-01168-7" TargetMode="External" /><Relationship Type="http://schemas.openxmlformats.org/officeDocument/2006/relationships/hyperlink" Id="rId67" Target="https://doi.org/10.1056/nejmoa1602253" TargetMode="External" /><Relationship Type="http://schemas.openxmlformats.org/officeDocument/2006/relationships/hyperlink" Id="rId71" Target="https://doi.org/10.1056/nejmoa1804710" TargetMode="External" /><Relationship Type="http://schemas.openxmlformats.org/officeDocument/2006/relationships/hyperlink" Id="rId95" Target="https://doi.org/10.1073/pnas.0506580102" TargetMode="External" /><Relationship Type="http://schemas.openxmlformats.org/officeDocument/2006/relationships/hyperlink" Id="rId97" Target="https://doi.org/10.1093/bioinformatics/btr260" TargetMode="External" /><Relationship Type="http://schemas.openxmlformats.org/officeDocument/2006/relationships/hyperlink" Id="rId85" Target="https://doi.org/10.1093/bioinformatics/bty117" TargetMode="External" /><Relationship Type="http://schemas.openxmlformats.org/officeDocument/2006/relationships/hyperlink" Id="rId116" Target="https://doi.org/10.1093/jncimonographs/lgr034" TargetMode="External" /><Relationship Type="http://schemas.openxmlformats.org/officeDocument/2006/relationships/hyperlink" Id="rId100" Target="https://doi.org/10.1093/nar/gkaa802" TargetMode="External" /><Relationship Type="http://schemas.openxmlformats.org/officeDocument/2006/relationships/hyperlink" Id="rId83" Target="https://doi.org/10.1093/nargab/lqaa078" TargetMode="External" /><Relationship Type="http://schemas.openxmlformats.org/officeDocument/2006/relationships/hyperlink" Id="rId73" Target="https://doi.org/10.1158/1078-0432.ccr-11-0926" TargetMode="External" /><Relationship Type="http://schemas.openxmlformats.org/officeDocument/2006/relationships/hyperlink" Id="rId104" Target="https://doi.org/10.1186/1471-2105-14-7" TargetMode="External" /><Relationship Type="http://schemas.openxmlformats.org/officeDocument/2006/relationships/hyperlink" Id="rId75" Target="https://doi.org/10.1186/bcr3038" TargetMode="External" /><Relationship Type="http://schemas.openxmlformats.org/officeDocument/2006/relationships/hyperlink" Id="rId122" Target="https://doi.org/10.1186/s12859-018-2435-4" TargetMode="External" /><Relationship Type="http://schemas.openxmlformats.org/officeDocument/2006/relationships/hyperlink" Id="rId93" Target="https://doi.org/10.1186/s13058-019-1223-z" TargetMode="External" /><Relationship Type="http://schemas.openxmlformats.org/officeDocument/2006/relationships/hyperlink" Id="rId89" Target="https://doi.org/10.1186/s13073-015-0131-9" TargetMode="External" /><Relationship Type="http://schemas.openxmlformats.org/officeDocument/2006/relationships/hyperlink" Id="rId63" Target="https://doi.org/10.1200/jco.19.02309" TargetMode="External" /><Relationship Type="http://schemas.openxmlformats.org/officeDocument/2006/relationships/hyperlink" Id="rId79" Target="https://doi.org/10.1200/jco.20.00853" TargetMode="External" /><Relationship Type="http://schemas.openxmlformats.org/officeDocument/2006/relationships/hyperlink" Id="rId69" Target="https://doi.org/10.1200/jco.2008.18.1370" TargetMode="External" /><Relationship Type="http://schemas.openxmlformats.org/officeDocument/2006/relationships/hyperlink" Id="rId77" Target="https://doi.org/10.1200/jco.22.00069" TargetMode="External" /><Relationship Type="http://schemas.openxmlformats.org/officeDocument/2006/relationships/hyperlink" Id="rId11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102" Target="https://github.com/kevinblighe/PCAtools" TargetMode="External" /><Relationship Type="http://schemas.openxmlformats.org/officeDocument/2006/relationships/hyperlink" Id="rId110"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11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61" Target="https://doi.org/10.1023/a:1020299707510" TargetMode="External" /><Relationship Type="http://schemas.openxmlformats.org/officeDocument/2006/relationships/hyperlink" Id="rId91" Target="https://doi.org/10.1038/nature10983" TargetMode="External" /><Relationship Type="http://schemas.openxmlformats.org/officeDocument/2006/relationships/hyperlink" Id="rId87" Target="https://doi.org/10.1038/nature11412" TargetMode="External" /><Relationship Type="http://schemas.openxmlformats.org/officeDocument/2006/relationships/hyperlink" Id="rId81" Target="https://doi.org/10.1038/nbt.2931" TargetMode="External" /><Relationship Type="http://schemas.openxmlformats.org/officeDocument/2006/relationships/hyperlink" Id="rId108" Target="https://doi.org/10.1038/ng1180" TargetMode="External" /><Relationship Type="http://schemas.openxmlformats.org/officeDocument/2006/relationships/hyperlink" Id="rId114" Target="https://doi.org/10.1038/s41467-018-04129-4" TargetMode="External" /><Relationship Type="http://schemas.openxmlformats.org/officeDocument/2006/relationships/hyperlink" Id="rId106" Target="https://doi.org/10.1038/s41523-019-0111-0" TargetMode="External" /><Relationship Type="http://schemas.openxmlformats.org/officeDocument/2006/relationships/hyperlink" Id="rId65" Target="https://doi.org/10.1038/s41523-021-00308-7" TargetMode="External" /><Relationship Type="http://schemas.openxmlformats.org/officeDocument/2006/relationships/hyperlink" Id="rId120" Target="https://doi.org/10.1038/s41591-020-01168-7" TargetMode="External" /><Relationship Type="http://schemas.openxmlformats.org/officeDocument/2006/relationships/hyperlink" Id="rId67" Target="https://doi.org/10.1056/nejmoa1602253" TargetMode="External" /><Relationship Type="http://schemas.openxmlformats.org/officeDocument/2006/relationships/hyperlink" Id="rId71" Target="https://doi.org/10.1056/nejmoa1804710" TargetMode="External" /><Relationship Type="http://schemas.openxmlformats.org/officeDocument/2006/relationships/hyperlink" Id="rId95" Target="https://doi.org/10.1073/pnas.0506580102" TargetMode="External" /><Relationship Type="http://schemas.openxmlformats.org/officeDocument/2006/relationships/hyperlink" Id="rId97" Target="https://doi.org/10.1093/bioinformatics/btr260" TargetMode="External" /><Relationship Type="http://schemas.openxmlformats.org/officeDocument/2006/relationships/hyperlink" Id="rId85" Target="https://doi.org/10.1093/bioinformatics/bty117" TargetMode="External" /><Relationship Type="http://schemas.openxmlformats.org/officeDocument/2006/relationships/hyperlink" Id="rId116" Target="https://doi.org/10.1093/jncimonographs/lgr034" TargetMode="External" /><Relationship Type="http://schemas.openxmlformats.org/officeDocument/2006/relationships/hyperlink" Id="rId100" Target="https://doi.org/10.1093/nar/gkaa802" TargetMode="External" /><Relationship Type="http://schemas.openxmlformats.org/officeDocument/2006/relationships/hyperlink" Id="rId83" Target="https://doi.org/10.1093/nargab/lqaa078" TargetMode="External" /><Relationship Type="http://schemas.openxmlformats.org/officeDocument/2006/relationships/hyperlink" Id="rId73" Target="https://doi.org/10.1158/1078-0432.ccr-11-0926" TargetMode="External" /><Relationship Type="http://schemas.openxmlformats.org/officeDocument/2006/relationships/hyperlink" Id="rId104" Target="https://doi.org/10.1186/1471-2105-14-7" TargetMode="External" /><Relationship Type="http://schemas.openxmlformats.org/officeDocument/2006/relationships/hyperlink" Id="rId75" Target="https://doi.org/10.1186/bcr3038" TargetMode="External" /><Relationship Type="http://schemas.openxmlformats.org/officeDocument/2006/relationships/hyperlink" Id="rId122" Target="https://doi.org/10.1186/s12859-018-2435-4" TargetMode="External" /><Relationship Type="http://schemas.openxmlformats.org/officeDocument/2006/relationships/hyperlink" Id="rId93" Target="https://doi.org/10.1186/s13058-019-1223-z" TargetMode="External" /><Relationship Type="http://schemas.openxmlformats.org/officeDocument/2006/relationships/hyperlink" Id="rId89" Target="https://doi.org/10.1186/s13073-015-0131-9" TargetMode="External" /><Relationship Type="http://schemas.openxmlformats.org/officeDocument/2006/relationships/hyperlink" Id="rId63" Target="https://doi.org/10.1200/jco.19.02309" TargetMode="External" /><Relationship Type="http://schemas.openxmlformats.org/officeDocument/2006/relationships/hyperlink" Id="rId79" Target="https://doi.org/10.1200/jco.20.00853" TargetMode="External" /><Relationship Type="http://schemas.openxmlformats.org/officeDocument/2006/relationships/hyperlink" Id="rId69" Target="https://doi.org/10.1200/jco.2008.18.1370" TargetMode="External" /><Relationship Type="http://schemas.openxmlformats.org/officeDocument/2006/relationships/hyperlink" Id="rId77" Target="https://doi.org/10.1200/jco.22.00069" TargetMode="External" /><Relationship Type="http://schemas.openxmlformats.org/officeDocument/2006/relationships/hyperlink" Id="rId11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102" Target="https://github.com/kevinblighe/PCAtools" TargetMode="External" /><Relationship Type="http://schemas.openxmlformats.org/officeDocument/2006/relationships/hyperlink" Id="rId110"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2022-12-07T10:37:35Z</dcterms:created>
  <dcterms:modified xsi:type="dcterms:W3CDTF">2022-12-07T10:37:35Z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